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rPr>
          <w:b w:val="1"/>
        </w:rPr>
      </w:pPr>
      <w:r>
        <w:rPr>
          <w:b w:val="1"/>
        </w:rPr>
        <w:t>Договор возмездного оказания услуг №</w:t>
      </w:r>
      <w:r>
        <w:rPr>
          <w:b w:val="1"/>
        </w:rPr>
        <w:t>__</w:t>
      </w:r>
    </w:p>
    <w:p w14:paraId="02000000">
      <w:pPr>
        <w:pStyle w:val="Style_1"/>
        <w:rPr>
          <w:b w:val="1"/>
        </w:rPr>
      </w:pPr>
    </w:p>
    <w:p w14:paraId="03000000">
      <w:r>
        <w:t>г. Барнаул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«__»</w:t>
      </w:r>
      <w:r>
        <w:t xml:space="preserve"> </w:t>
      </w:r>
      <w:r>
        <w:t>________</w:t>
      </w:r>
      <w:r>
        <w:t xml:space="preserve"> </w:t>
      </w:r>
      <w:r>
        <w:t>20</w:t>
      </w:r>
      <w:r>
        <w:t>2</w:t>
      </w:r>
      <w:r>
        <w:t>5</w:t>
      </w:r>
      <w:r>
        <w:t>г.</w:t>
      </w:r>
    </w:p>
    <w:p w14:paraId="04000000">
      <w:pPr>
        <w:rPr>
          <w:sz w:val="18"/>
        </w:rPr>
      </w:pPr>
    </w:p>
    <w:p w14:paraId="05000000">
      <w:pPr>
        <w:widowControl w:val="1"/>
        <w:ind/>
        <w:jc w:val="both"/>
        <w:rPr>
          <w:u w:val="single"/>
        </w:rPr>
      </w:pPr>
      <w:r>
        <w:rPr>
          <w:b w:val="1"/>
        </w:rPr>
        <w:t>Общество с ограниченной ответственностью «Фестиваль плюс»</w:t>
      </w:r>
      <w:r>
        <w:t xml:space="preserve"> (ООО «Фестиваль плюс») именуемый в дальнейшем «Исполнитель» в лице директора Бородачевой Кристины Викторовны</w:t>
      </w:r>
      <w:r>
        <w:rPr>
          <w:i w:val="1"/>
        </w:rPr>
        <w:t xml:space="preserve">, </w:t>
      </w:r>
      <w:r>
        <w:t>действующего на основании Устава и ________</w:t>
      </w:r>
      <w:r>
        <w:t xml:space="preserve"> (полное наименование организации) в лице __________</w:t>
      </w:r>
      <w:r>
        <w:t>___</w:t>
      </w:r>
      <w:r>
        <w:t>, действующего на</w:t>
      </w:r>
      <w:r>
        <w:t xml:space="preserve"> </w:t>
      </w:r>
      <w:r>
        <w:t>основа</w:t>
      </w:r>
      <w:r>
        <w:t xml:space="preserve">нии </w:t>
      </w:r>
      <w:r>
        <w:t>________</w:t>
      </w:r>
      <w:r>
        <w:t xml:space="preserve">,  </w:t>
      </w:r>
      <w:r>
        <w:t>с другой стороны,</w:t>
      </w:r>
      <w:r>
        <w:t xml:space="preserve"> </w:t>
      </w:r>
      <w:r>
        <w:t xml:space="preserve"> </w:t>
      </w:r>
      <w:r>
        <w:t>при совместном упоминании именуемые в дальнейшем Стороны, заключили нас</w:t>
      </w:r>
      <w:r>
        <w:t>тоящий договор о нижеследующем</w:t>
      </w:r>
      <w:r>
        <w:t>:</w:t>
      </w:r>
      <w:r>
        <w:t xml:space="preserve"> </w:t>
      </w:r>
    </w:p>
    <w:p w14:paraId="06000000">
      <w:pPr>
        <w:widowControl w:val="1"/>
        <w:numPr>
          <w:ilvl w:val="0"/>
          <w:numId w:val="1"/>
        </w:numPr>
        <w:ind/>
        <w:jc w:val="center"/>
        <w:rPr>
          <w:b w:val="1"/>
        </w:rPr>
      </w:pPr>
      <w:r>
        <w:rPr>
          <w:b w:val="1"/>
        </w:rPr>
        <w:t>Предмет договора</w:t>
      </w:r>
    </w:p>
    <w:p w14:paraId="07000000">
      <w:pPr>
        <w:pStyle w:val="Style_2"/>
        <w:widowControl w:val="1"/>
        <w:ind w:firstLine="0" w:left="0"/>
        <w:rPr>
          <w:sz w:val="24"/>
        </w:rPr>
      </w:pPr>
      <w:r>
        <w:rPr>
          <w:sz w:val="24"/>
        </w:rPr>
        <w:t xml:space="preserve">1.1. </w:t>
      </w:r>
      <w:r>
        <w:rPr>
          <w:sz w:val="24"/>
        </w:rPr>
        <w:t>По договору возмездного оказания услуг Исполнитель обязуется по заданию Заказчика оказать услуги, указанные в п. 1.2. настоящего договора, а Заказчик обязуется оплатить эти услуги.</w:t>
      </w:r>
    </w:p>
    <w:p w14:paraId="08000000">
      <w:pPr>
        <w:widowControl w:val="1"/>
        <w:ind/>
        <w:jc w:val="both"/>
      </w:pPr>
      <w:r>
        <w:t xml:space="preserve">1.2. </w:t>
      </w:r>
      <w:r>
        <w:t>Исполнитель</w:t>
      </w:r>
      <w:r>
        <w:t xml:space="preserve"> </w:t>
      </w:r>
      <w:r>
        <w:t xml:space="preserve">принимает на себя </w:t>
      </w:r>
      <w:r>
        <w:t>обязательства по организации участия Заказчика в</w:t>
      </w:r>
      <w:r>
        <w:t xml:space="preserve"> </w:t>
      </w:r>
      <w:r>
        <w:t>V</w:t>
      </w:r>
      <w:r>
        <w:t xml:space="preserve"> </w:t>
      </w:r>
      <w:bookmarkStart w:id="1" w:name="_Hlk74816210"/>
      <w:r>
        <w:t xml:space="preserve">Международной конференции </w:t>
      </w:r>
      <w:r>
        <w:t xml:space="preserve">по цифровизации сельского хозяйства и органическому производству </w:t>
      </w:r>
      <w:r>
        <w:t>ADOP</w:t>
      </w:r>
      <w:r>
        <w:t xml:space="preserve">-2025 </w:t>
      </w:r>
      <w:bookmarkEnd w:id="1"/>
      <w:r>
        <w:t>(далее Конференция)</w:t>
      </w:r>
      <w:r>
        <w:t xml:space="preserve"> </w:t>
      </w:r>
      <w:r>
        <w:t>с 0</w:t>
      </w:r>
      <w:r>
        <w:t>3</w:t>
      </w:r>
      <w:r>
        <w:t xml:space="preserve"> по 0</w:t>
      </w:r>
      <w:r>
        <w:t>6</w:t>
      </w:r>
      <w:r>
        <w:t xml:space="preserve"> </w:t>
      </w:r>
      <w:r>
        <w:t>июня</w:t>
      </w:r>
      <w:r>
        <w:t xml:space="preserve"> 202</w:t>
      </w:r>
      <w:r>
        <w:t>5</w:t>
      </w:r>
      <w:r>
        <w:t xml:space="preserve"> г. по адресу: г. </w:t>
      </w:r>
      <w:r>
        <w:t>Барнаул</w:t>
      </w:r>
      <w:r>
        <w:t xml:space="preserve">, </w:t>
      </w:r>
      <w:r>
        <w:t>пр-т Красноармейский</w:t>
      </w:r>
      <w:r>
        <w:t xml:space="preserve">, </w:t>
      </w:r>
      <w:r>
        <w:t>98</w:t>
      </w:r>
      <w:r>
        <w:t xml:space="preserve">, </w:t>
      </w:r>
      <w:r>
        <w:t>ФГБОУ ВО Алтайский ГАУ</w:t>
      </w:r>
      <w:r>
        <w:t>.</w:t>
      </w:r>
    </w:p>
    <w:p w14:paraId="09000000">
      <w:pPr>
        <w:widowControl w:val="1"/>
        <w:ind/>
        <w:jc w:val="both"/>
      </w:pPr>
      <w:r>
        <w:t xml:space="preserve">1.3. Срок оказания услуг с </w:t>
      </w:r>
      <w:r>
        <w:rPr>
          <w:u w:val="single"/>
        </w:rPr>
        <w:t>«</w:t>
      </w:r>
      <w:r>
        <w:rPr>
          <w:u w:val="single"/>
        </w:rPr>
        <w:t>3</w:t>
      </w:r>
      <w:r>
        <w:rPr>
          <w:u w:val="single"/>
        </w:rPr>
        <w:t xml:space="preserve">» </w:t>
      </w:r>
      <w:r>
        <w:rPr>
          <w:u w:val="single"/>
        </w:rPr>
        <w:t>июн</w:t>
      </w:r>
      <w:r>
        <w:rPr>
          <w:u w:val="single"/>
        </w:rPr>
        <w:t>я</w:t>
      </w:r>
      <w:r>
        <w:rPr>
          <w:u w:val="single"/>
        </w:rPr>
        <w:t xml:space="preserve"> </w:t>
      </w:r>
      <w:r>
        <w:rPr>
          <w:u w:val="single"/>
        </w:rPr>
        <w:t>202</w:t>
      </w:r>
      <w:r>
        <w:rPr>
          <w:u w:val="single"/>
        </w:rPr>
        <w:t xml:space="preserve">5 </w:t>
      </w:r>
      <w:r>
        <w:rPr>
          <w:u w:val="single"/>
        </w:rPr>
        <w:t>г. до «</w:t>
      </w:r>
      <w:r>
        <w:rPr>
          <w:u w:val="single"/>
        </w:rPr>
        <w:t>6</w:t>
      </w:r>
      <w:r>
        <w:rPr>
          <w:u w:val="single"/>
        </w:rPr>
        <w:t>»</w:t>
      </w:r>
      <w:r>
        <w:rPr>
          <w:u w:val="single"/>
        </w:rPr>
        <w:t xml:space="preserve"> </w:t>
      </w:r>
      <w:r>
        <w:rPr>
          <w:u w:val="single"/>
        </w:rPr>
        <w:t>июня</w:t>
      </w:r>
      <w:r>
        <w:rPr>
          <w:u w:val="single"/>
        </w:rPr>
        <w:t xml:space="preserve"> </w:t>
      </w:r>
      <w:r>
        <w:rPr>
          <w:u w:val="single"/>
        </w:rPr>
        <w:t>202</w:t>
      </w:r>
      <w:r>
        <w:rPr>
          <w:u w:val="single"/>
        </w:rPr>
        <w:t>5</w:t>
      </w:r>
      <w:r>
        <w:rPr>
          <w:u w:val="single"/>
        </w:rPr>
        <w:t xml:space="preserve">г. </w:t>
      </w:r>
    </w:p>
    <w:p w14:paraId="0A000000">
      <w:pPr>
        <w:widowControl w:val="1"/>
        <w:ind/>
        <w:jc w:val="both"/>
      </w:pPr>
      <w:r>
        <w:t xml:space="preserve">1.4. </w:t>
      </w:r>
      <w:r>
        <w:t>У</w:t>
      </w:r>
      <w:r>
        <w:t>с</w:t>
      </w:r>
      <w:r>
        <w:t xml:space="preserve">луги считаются оказанными после подписания акта </w:t>
      </w:r>
      <w:r>
        <w:t>оказания</w:t>
      </w:r>
      <w:r>
        <w:t xml:space="preserve"> услуг</w:t>
      </w:r>
      <w:r>
        <w:t xml:space="preserve"> </w:t>
      </w:r>
      <w:r>
        <w:t>Заказчиком или его уполномоченным представителем.</w:t>
      </w:r>
    </w:p>
    <w:p w14:paraId="0B000000">
      <w:pPr>
        <w:widowControl w:val="1"/>
        <w:numPr>
          <w:ilvl w:val="0"/>
          <w:numId w:val="1"/>
        </w:numPr>
        <w:tabs>
          <w:tab w:leader="none" w:pos="1080" w:val="left"/>
        </w:tabs>
        <w:ind/>
        <w:jc w:val="center"/>
        <w:rPr>
          <w:b w:val="1"/>
        </w:rPr>
      </w:pPr>
      <w:r>
        <w:rPr>
          <w:b w:val="1"/>
        </w:rPr>
        <w:t>Права и обязанности</w:t>
      </w:r>
    </w:p>
    <w:p w14:paraId="0C000000">
      <w:pPr>
        <w:pStyle w:val="Style_3"/>
        <w:widowControl w:val="1"/>
        <w:tabs>
          <w:tab w:leader="none" w:pos="0" w:val="left"/>
        </w:tabs>
        <w:ind/>
      </w:pPr>
      <w:r>
        <w:t>2.1.</w:t>
      </w:r>
      <w:r>
        <w:tab/>
      </w:r>
      <w:r>
        <w:t>Исполнитель обязан:</w:t>
      </w:r>
    </w:p>
    <w:p w14:paraId="0D000000">
      <w:pPr>
        <w:widowControl w:val="1"/>
        <w:numPr>
          <w:ilvl w:val="2"/>
          <w:numId w:val="1"/>
        </w:numPr>
        <w:tabs>
          <w:tab w:leader="none" w:pos="0" w:val="left"/>
        </w:tabs>
        <w:ind/>
        <w:jc w:val="both"/>
      </w:pPr>
      <w:r>
        <w:t>Оказат</w:t>
      </w:r>
      <w:r>
        <w:t>ь услуги с надлежащим качеством,</w:t>
      </w:r>
      <w:r>
        <w:t xml:space="preserve"> в полном объеме</w:t>
      </w:r>
      <w:r>
        <w:t xml:space="preserve"> и</w:t>
      </w:r>
      <w:r>
        <w:t xml:space="preserve"> в срок, указанный в п.1.3. настоящего договора.</w:t>
      </w:r>
    </w:p>
    <w:p w14:paraId="0E000000">
      <w:pPr>
        <w:pStyle w:val="Style_3"/>
        <w:widowControl w:val="1"/>
        <w:tabs>
          <w:tab w:leader="none" w:pos="0" w:val="left"/>
        </w:tabs>
        <w:ind/>
      </w:pPr>
      <w:r>
        <w:t>2.2.</w:t>
      </w:r>
      <w:r>
        <w:tab/>
      </w:r>
      <w:r>
        <w:t>Заказчик обязан:</w:t>
      </w:r>
    </w:p>
    <w:p w14:paraId="0F000000">
      <w:pPr>
        <w:widowControl w:val="1"/>
        <w:tabs>
          <w:tab w:leader="none" w:pos="921" w:val="left"/>
        </w:tabs>
        <w:ind/>
        <w:jc w:val="both"/>
      </w:pPr>
      <w:r>
        <w:t xml:space="preserve">2.2.1 </w:t>
      </w:r>
      <w:r>
        <w:t>Оплатить услуги Исполнител</w:t>
      </w:r>
      <w:r>
        <w:t>я по настоящему договору.</w:t>
      </w:r>
    </w:p>
    <w:p w14:paraId="10000000">
      <w:pPr>
        <w:pStyle w:val="Style_3"/>
        <w:widowControl w:val="1"/>
        <w:tabs>
          <w:tab w:leader="none" w:pos="0" w:val="left"/>
        </w:tabs>
        <w:ind/>
      </w:pPr>
      <w:r>
        <w:t>2.3.</w:t>
      </w:r>
      <w:r>
        <w:tab/>
      </w:r>
      <w:r>
        <w:t>Заказчик имеет право:</w:t>
      </w:r>
    </w:p>
    <w:p w14:paraId="11000000">
      <w:pPr>
        <w:pStyle w:val="Style_4"/>
        <w:widowControl w:val="1"/>
        <w:numPr>
          <w:ilvl w:val="2"/>
          <w:numId w:val="2"/>
        </w:numPr>
        <w:tabs>
          <w:tab w:leader="none" w:pos="0" w:val="left"/>
          <w:tab w:leader="none" w:pos="1080" w:val="clear"/>
          <w:tab w:leader="none" w:pos="1620" w:val="clear"/>
        </w:tabs>
        <w:ind w:firstLine="0" w:left="0"/>
        <w:jc w:val="both"/>
      </w:pPr>
      <w:r>
        <w:t>В любое время проверять ход и качество</w:t>
      </w:r>
      <w:r>
        <w:t xml:space="preserve"> </w:t>
      </w:r>
      <w:r>
        <w:t>услуг</w:t>
      </w:r>
      <w:r>
        <w:t>,</w:t>
      </w:r>
      <w:r>
        <w:t xml:space="preserve"> оказываемых Исполнителем, не вмешиваясь в его деятельность.</w:t>
      </w:r>
    </w:p>
    <w:p w14:paraId="12000000">
      <w:pPr>
        <w:widowControl w:val="1"/>
        <w:numPr>
          <w:ilvl w:val="2"/>
          <w:numId w:val="2"/>
        </w:numPr>
        <w:tabs>
          <w:tab w:leader="none" w:pos="0" w:val="left"/>
          <w:tab w:leader="none" w:pos="1080" w:val="clear"/>
        </w:tabs>
        <w:ind w:firstLine="0" w:left="0"/>
        <w:jc w:val="both"/>
      </w:pPr>
      <w:r>
        <w:t xml:space="preserve">Отказаться от исполнения договора в любое время до подписания акта, уплатив Исполнителю часть установленной цены пропорционально оказанных услуг, выполненных до получения </w:t>
      </w:r>
      <w:r>
        <w:t xml:space="preserve">уведомления </w:t>
      </w:r>
      <w:r>
        <w:t>об отказе Заказчика от исполнения договора.</w:t>
      </w:r>
    </w:p>
    <w:p w14:paraId="13000000">
      <w:pPr>
        <w:widowControl w:val="1"/>
        <w:numPr>
          <w:ilvl w:val="0"/>
          <w:numId w:val="2"/>
        </w:numPr>
        <w:tabs>
          <w:tab w:leader="none" w:pos="1080" w:val="left"/>
          <w:tab w:leader="none" w:pos="1620" w:val="left"/>
        </w:tabs>
        <w:ind/>
        <w:jc w:val="center"/>
        <w:rPr>
          <w:b w:val="1"/>
        </w:rPr>
      </w:pPr>
      <w:r>
        <w:rPr>
          <w:b w:val="1"/>
        </w:rPr>
        <w:t>Цена договора и порядок расчета</w:t>
      </w:r>
    </w:p>
    <w:p w14:paraId="14000000">
      <w:pPr>
        <w:pStyle w:val="Style_5"/>
        <w:widowControl w:val="1"/>
        <w:ind w:hanging="15"/>
        <w:jc w:val="both"/>
      </w:pPr>
      <w:r>
        <w:t>3.1.</w:t>
      </w:r>
      <w:r>
        <w:t xml:space="preserve"> </w:t>
      </w:r>
      <w:r>
        <w:t>Цена услуг по данному договору составляет</w:t>
      </w:r>
      <w:r>
        <w:t xml:space="preserve"> </w:t>
      </w:r>
      <w:r>
        <w:t>12 000</w:t>
      </w:r>
      <w:r>
        <w:t xml:space="preserve"> </w:t>
      </w:r>
      <w:r>
        <w:t>(</w:t>
      </w:r>
      <w:r>
        <w:t>двенадцать</w:t>
      </w:r>
      <w:r>
        <w:t xml:space="preserve"> тысяч</w:t>
      </w:r>
      <w:r>
        <w:t>)</w:t>
      </w:r>
      <w:r>
        <w:t xml:space="preserve"> рублей</w:t>
      </w:r>
      <w:r>
        <w:t xml:space="preserve"> 00 копеек</w:t>
      </w:r>
      <w:r>
        <w:t>.</w:t>
      </w:r>
    </w:p>
    <w:p w14:paraId="15000000">
      <w:pPr>
        <w:pStyle w:val="Style_3"/>
        <w:widowControl w:val="1"/>
        <w:tabs>
          <w:tab w:leader="none" w:pos="0" w:val="left"/>
        </w:tabs>
        <w:ind/>
      </w:pPr>
      <w:r>
        <w:t>3.2.</w:t>
      </w:r>
      <w:r>
        <w:t xml:space="preserve"> </w:t>
      </w:r>
      <w:r>
        <w:t>Оплата Заказчиком Исполнителю услуг по данному договору осуществляется путем перечисления денежных средств на расчетный счет Исполнителя</w:t>
      </w:r>
      <w:r>
        <w:t xml:space="preserve"> </w:t>
      </w:r>
      <w:r>
        <w:t xml:space="preserve">авансовым платежом в размере 100% в безналичном порядке в срок до </w:t>
      </w:r>
      <w:r>
        <w:t>30</w:t>
      </w:r>
      <w:r>
        <w:t xml:space="preserve"> </w:t>
      </w:r>
      <w:r>
        <w:t>мая</w:t>
      </w:r>
      <w:r>
        <w:t xml:space="preserve"> 202</w:t>
      </w:r>
      <w:r>
        <w:t>5</w:t>
      </w:r>
      <w:r>
        <w:t xml:space="preserve"> г.</w:t>
      </w:r>
    </w:p>
    <w:p w14:paraId="16000000">
      <w:pPr>
        <w:keepNext w:val="1"/>
        <w:keepLines w:val="1"/>
        <w:widowControl w:val="1"/>
        <w:ind/>
        <w:jc w:val="both"/>
      </w:pPr>
      <w:r>
        <w:t>3.3.</w:t>
      </w:r>
      <w:r>
        <w:t xml:space="preserve"> Цена договора включает в себя все издержки (расходы) Исполнителя по </w:t>
      </w:r>
      <w:r>
        <w:t>оказанию услуг</w:t>
      </w:r>
      <w:r>
        <w:t>, в том числе на расходные материалы, страхование, уплату таможенных пошлин,</w:t>
      </w:r>
      <w:r>
        <w:t xml:space="preserve"> налогов и сборов </w:t>
      </w:r>
      <w:r>
        <w:t>и прочи</w:t>
      </w:r>
      <w:r>
        <w:t>х</w:t>
      </w:r>
      <w:r>
        <w:t xml:space="preserve"> расход</w:t>
      </w:r>
      <w:r>
        <w:t>ов</w:t>
      </w:r>
      <w:r>
        <w:t>.</w:t>
      </w:r>
    </w:p>
    <w:p w14:paraId="17000000">
      <w:pPr>
        <w:widowControl w:val="0"/>
        <w:ind/>
        <w:jc w:val="both"/>
      </w:pPr>
    </w:p>
    <w:p w14:paraId="18000000">
      <w:pPr>
        <w:widowControl w:val="1"/>
        <w:numPr>
          <w:ilvl w:val="0"/>
          <w:numId w:val="3"/>
        </w:numPr>
        <w:tabs>
          <w:tab w:leader="none" w:pos="1080" w:val="left"/>
          <w:tab w:leader="none" w:pos="1620" w:val="left"/>
        </w:tabs>
        <w:ind/>
        <w:jc w:val="center"/>
        <w:rPr>
          <w:b w:val="1"/>
        </w:rPr>
      </w:pPr>
      <w:r>
        <w:rPr>
          <w:b w:val="1"/>
        </w:rPr>
        <w:t>Ответственности сторон</w:t>
      </w:r>
    </w:p>
    <w:p w14:paraId="19000000">
      <w:pPr>
        <w:widowControl w:val="1"/>
        <w:ind/>
        <w:jc w:val="both"/>
      </w:pPr>
      <w:r>
        <w:rPr>
          <w:sz w:val="22"/>
        </w:rPr>
        <w:t xml:space="preserve">4.1. </w:t>
      </w:r>
      <w:r>
        <w:t>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14:paraId="1A000000">
      <w:pPr>
        <w:widowControl w:val="1"/>
        <w:ind/>
        <w:jc w:val="both"/>
      </w:pPr>
      <w:r>
        <w:t>4</w:t>
      </w:r>
      <w:r>
        <w:t>.</w:t>
      </w:r>
      <w:r>
        <w:t>2</w:t>
      </w:r>
      <w:r>
        <w:t>. В случае просрочки исполнения Заказчиком</w:t>
      </w:r>
      <w:r>
        <w:t xml:space="preserve"> оплаты услуг Исполнитель вправе потребовать уплаты пени.</w:t>
      </w:r>
      <w:r>
        <w:t xml:space="preserve"> </w:t>
      </w:r>
      <w:r>
        <w:t>Пеня начисляется за каждый день просрочки исполнения</w:t>
      </w:r>
      <w:r>
        <w:t xml:space="preserve"> обязательств, предусмотренных настоящим договором,</w:t>
      </w:r>
      <w:r>
        <w:t xml:space="preserve"> </w:t>
      </w:r>
      <w:r>
        <w:t xml:space="preserve">начиная со дня, следующего после дня истечения установленного настоящим договором срока исполнения обязательства, и устанавливается в размере 1/300 действующей на дату уплаты пени ставки рефинансирования Центрального банка Российской Федерации от не уплаченной в срок суммы </w:t>
      </w:r>
      <w:r>
        <w:t>Заказчиком</w:t>
      </w:r>
      <w:r>
        <w:t>.</w:t>
      </w:r>
      <w:r>
        <w:t xml:space="preserve">  </w:t>
      </w:r>
    </w:p>
    <w:p w14:paraId="1B000000">
      <w:pPr>
        <w:widowControl w:val="1"/>
        <w:ind/>
        <w:jc w:val="both"/>
      </w:pPr>
      <w:r>
        <w:t>4</w:t>
      </w:r>
      <w:r>
        <w:t>.</w:t>
      </w:r>
      <w:r>
        <w:t>3</w:t>
      </w:r>
      <w:r>
        <w:t xml:space="preserve">. </w:t>
      </w:r>
      <w:r>
        <w:t xml:space="preserve">В случае просрочки исполнения </w:t>
      </w:r>
      <w:r>
        <w:t xml:space="preserve">Исполнителем обязательств, предусмотренных договором, а также в иных случаях неисполнения или надлежащего исполнения Исполнителем обязательств, предусмотренных договором, Заказчик направляет Исполнителю требование об уплате неустоек (штрафов, пеней). </w:t>
      </w:r>
      <w:r>
        <w:t xml:space="preserve">Пеня начисляется за каждый день просрочки исполнения Исполнителем обязательства, предусмотренного </w:t>
      </w:r>
      <w:r>
        <w:t xml:space="preserve">настоящим договором, начиная со дня, следующего после дня истечения установленного настоящим договором срока исполнения обязательства, и устанавливается в размере </w:t>
      </w:r>
      <w:r>
        <w:t>1/300</w:t>
      </w:r>
      <w:r>
        <w:t xml:space="preserve"> </w:t>
      </w:r>
      <w:r>
        <w:t xml:space="preserve"> от стоимости неисполненных услуг.</w:t>
      </w:r>
    </w:p>
    <w:p w14:paraId="1C000000">
      <w:pPr>
        <w:widowControl w:val="1"/>
        <w:ind/>
        <w:jc w:val="both"/>
      </w:pPr>
      <w:r>
        <w:t xml:space="preserve">4.4. </w:t>
      </w:r>
      <w:r>
        <w:t>Уплата неустойки и возмещение убытков, связанных с ненадлежащим исполнением Сторонами своих обязательств по настоящему договору, не освобождают нарушившую условия договора Сторону от исполнения взятых на себя обязательств.</w:t>
      </w:r>
    </w:p>
    <w:p w14:paraId="1D000000">
      <w:pPr>
        <w:widowControl w:val="1"/>
        <w:ind/>
        <w:jc w:val="both"/>
      </w:pPr>
      <w:r>
        <w:t>4</w:t>
      </w:r>
      <w:r>
        <w:t>.</w:t>
      </w:r>
      <w:r>
        <w:t>5</w:t>
      </w:r>
      <w:r>
        <w:t xml:space="preserve">. 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       </w:t>
      </w:r>
    </w:p>
    <w:p w14:paraId="1E000000">
      <w:pPr>
        <w:widowControl w:val="1"/>
        <w:numPr>
          <w:ilvl w:val="0"/>
          <w:numId w:val="3"/>
        </w:numPr>
        <w:ind w:firstLine="0" w:left="0"/>
        <w:jc w:val="center"/>
        <w:rPr>
          <w:b w:val="1"/>
        </w:rPr>
      </w:pPr>
      <w:r>
        <w:rPr>
          <w:b w:val="1"/>
        </w:rPr>
        <w:t>Порядок сдачи и приемки услуг</w:t>
      </w:r>
    </w:p>
    <w:p w14:paraId="1F000000">
      <w:pPr>
        <w:pStyle w:val="Style_6"/>
        <w:widowControl w:val="1"/>
        <w:ind w:left="0"/>
        <w:jc w:val="both"/>
      </w:pPr>
      <w:r>
        <w:t>5.1. Приемка услуг на соответствие их объема и качества требованиям, установленным в Договоре, производится за весь предусмотренный договором объем услуг.</w:t>
      </w:r>
    </w:p>
    <w:p w14:paraId="20000000">
      <w:pPr>
        <w:pStyle w:val="Style_6"/>
        <w:widowControl w:val="1"/>
        <w:ind w:left="0"/>
        <w:jc w:val="both"/>
        <w:rPr>
          <w:highlight w:val="white"/>
        </w:rPr>
      </w:pPr>
      <w:r>
        <w:t>5.2.</w:t>
      </w:r>
      <w:r>
        <w:rPr>
          <w:rFonts w:ascii="Verdana" w:hAnsi="Verdana"/>
          <w:color w:val="424242"/>
          <w:sz w:val="23"/>
          <w:highlight w:val="white"/>
        </w:rPr>
        <w:t xml:space="preserve"> </w:t>
      </w:r>
      <w:r>
        <w:t>Приемка услуг на соответствие их объема и качества требованиям, установленным в Договоре, производится Заказчиком в течении 10 (десяти) рабочих дней после получения</w:t>
      </w:r>
      <w:r>
        <w:rPr>
          <w:highlight w:val="white"/>
        </w:rPr>
        <w:t xml:space="preserve"> извещения (уведомления</w:t>
      </w:r>
      <w:r>
        <w:rPr>
          <w:highlight w:val="white"/>
        </w:rPr>
        <w:t>) о готовности услуг к сдаче и акт</w:t>
      </w:r>
      <w:r>
        <w:rPr>
          <w:highlight w:val="white"/>
        </w:rPr>
        <w:t>а оказанных услуг</w:t>
      </w:r>
      <w:r>
        <w:rPr>
          <w:highlight w:val="white"/>
        </w:rPr>
        <w:t>.</w:t>
      </w:r>
    </w:p>
    <w:p w14:paraId="21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 xml:space="preserve">Проверка соответствия качества оказываемых услуг требованиям, установленным </w:t>
      </w:r>
      <w:r>
        <w:rPr>
          <w:highlight w:val="white"/>
        </w:rPr>
        <w:t>Договором</w:t>
      </w:r>
      <w:r>
        <w:rPr>
          <w:highlight w:val="white"/>
        </w:rPr>
        <w:t>, может также осуществляться с привлечением экспертов, экспертных организаций.</w:t>
      </w:r>
    </w:p>
    <w:p w14:paraId="22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>5.3. Заказчик</w:t>
      </w:r>
      <w:r>
        <w:rPr>
          <w:highlight w:val="white"/>
        </w:rPr>
        <w:t>, принявший услуги без проверки, не лишается права ссылаться на недостатки услуги, которые могли быть установлены в ходе использования результата услуг.</w:t>
      </w:r>
    </w:p>
    <w:p w14:paraId="23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>5.4. Стороны</w:t>
      </w:r>
      <w:r>
        <w:rPr>
          <w:highlight w:val="white"/>
        </w:rPr>
        <w:t xml:space="preserve"> подписывают акты оказанных услуг</w:t>
      </w:r>
      <w:r>
        <w:rPr>
          <w:highlight w:val="white"/>
        </w:rPr>
        <w:t xml:space="preserve"> за </w:t>
      </w:r>
      <w:r>
        <w:rPr>
          <w:highlight w:val="white"/>
        </w:rPr>
        <w:t xml:space="preserve">весь </w:t>
      </w:r>
      <w:r>
        <w:rPr>
          <w:highlight w:val="white"/>
        </w:rPr>
        <w:t xml:space="preserve">предусмотренный </w:t>
      </w:r>
      <w:r>
        <w:rPr>
          <w:highlight w:val="white"/>
        </w:rPr>
        <w:t>Договором</w:t>
      </w:r>
      <w:r>
        <w:rPr>
          <w:highlight w:val="white"/>
        </w:rPr>
        <w:t xml:space="preserve"> объем услуг</w:t>
      </w:r>
      <w:r>
        <w:rPr>
          <w:highlight w:val="white"/>
        </w:rPr>
        <w:t>.</w:t>
      </w:r>
    </w:p>
    <w:p w14:paraId="24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 xml:space="preserve">5.5. В случае обнаружения недостатков в объеме и качестве оказанных услуг Заказчик не </w:t>
      </w:r>
      <w:r>
        <w:rPr>
          <w:highlight w:val="white"/>
        </w:rPr>
        <w:t>подписывает акт оказанных услуг</w:t>
      </w:r>
      <w:r>
        <w:rPr>
          <w:highlight w:val="white"/>
        </w:rPr>
        <w:t xml:space="preserve"> и направляет Исполнителю уведомление в порядке, предусмотренном пунктом 5.</w:t>
      </w:r>
      <w:r>
        <w:rPr>
          <w:highlight w:val="white"/>
        </w:rPr>
        <w:t>6 Договора</w:t>
      </w:r>
      <w:r>
        <w:rPr>
          <w:highlight w:val="white"/>
        </w:rPr>
        <w:t>. Приемка оказ</w:t>
      </w:r>
      <w:r>
        <w:rPr>
          <w:highlight w:val="white"/>
        </w:rPr>
        <w:t>анных услуг и подписание акта оказанных услуг</w:t>
      </w:r>
      <w:r>
        <w:rPr>
          <w:highlight w:val="white"/>
        </w:rPr>
        <w:t xml:space="preserve"> осуществляется после устранения Исполнителем всех недостатков.</w:t>
      </w:r>
    </w:p>
    <w:p w14:paraId="25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>5.6. В случае если Исполнитель не согласен с предъявляемой Заказчиком претензией о некачественной услуге, Исполнитель обязан самостоятельно подтвердить качество услуг заключением эксперта, экспертной организации и оригинал экспертного заключения представить Заказчику. Выбор эксперта, экспертной организации осуществляется Исполнителем и согласовывается с Заказчиком. Оплата услуг эксперта, экспертной организации, а также всех расходов для экспертизы осуществляется Исполнителем.</w:t>
      </w:r>
    </w:p>
    <w:p w14:paraId="26000000">
      <w:pPr>
        <w:pStyle w:val="Style_6"/>
        <w:widowControl w:val="1"/>
        <w:ind w:left="0"/>
        <w:jc w:val="both"/>
        <w:rPr>
          <w:highlight w:val="white"/>
        </w:rPr>
      </w:pPr>
      <w:r>
        <w:rPr>
          <w:highlight w:val="white"/>
        </w:rPr>
        <w:t xml:space="preserve">5.7. Обо всех нарушениях условий </w:t>
      </w:r>
      <w:r>
        <w:rPr>
          <w:highlight w:val="white"/>
        </w:rPr>
        <w:t>Договора</w:t>
      </w:r>
      <w:r>
        <w:rPr>
          <w:highlight w:val="white"/>
        </w:rPr>
        <w:t xml:space="preserve"> об объеме и качестве услуг Заказчик извещает Исполнителя не позднее трех рабочих дней с даты обнаружения указанных нарушений.</w:t>
      </w:r>
    </w:p>
    <w:p w14:paraId="27000000">
      <w:pPr>
        <w:pStyle w:val="Style_6"/>
        <w:widowControl w:val="1"/>
        <w:ind w:left="0"/>
        <w:jc w:val="both"/>
      </w:pPr>
      <w:r>
        <w:rPr>
          <w:highlight w:val="white"/>
        </w:rPr>
        <w:t>5.8. Исполнитель в установленный в уведомлении срок обязан устранить все допущенные нарушения. Если Исполнитель в установленный срок не устранит нарушения, Заказчик вправе предъявить Исполнителю требование о возмещении своих расходов на устранение недостатков услуг и (или) направить Исполнителю тр</w:t>
      </w:r>
      <w:r>
        <w:rPr>
          <w:highlight w:val="white"/>
        </w:rPr>
        <w:t>ебование о расторжении Договора</w:t>
      </w:r>
      <w:r>
        <w:rPr>
          <w:highlight w:val="white"/>
        </w:rPr>
        <w:t xml:space="preserve"> по соглашению Сторон (принять решение об одностороннем отказе от исполнения </w:t>
      </w:r>
      <w:r>
        <w:rPr>
          <w:highlight w:val="white"/>
        </w:rPr>
        <w:t>Договора</w:t>
      </w:r>
      <w:r>
        <w:rPr>
          <w:highlight w:val="white"/>
        </w:rPr>
        <w:t>), в случае, если устранение нарушений потребует больших временных затрат, в связи с чем Заказчи</w:t>
      </w:r>
      <w:r>
        <w:rPr>
          <w:highlight w:val="white"/>
        </w:rPr>
        <w:t>к утрачивает интерес к Договору</w:t>
      </w:r>
      <w:r>
        <w:rPr>
          <w:highlight w:val="white"/>
        </w:rPr>
        <w:t>.</w:t>
      </w:r>
    </w:p>
    <w:p w14:paraId="28000000">
      <w:pPr>
        <w:widowControl w:val="1"/>
        <w:numPr>
          <w:ilvl w:val="0"/>
          <w:numId w:val="3"/>
        </w:numPr>
        <w:ind w:firstLine="0" w:left="0"/>
        <w:jc w:val="center"/>
        <w:rPr>
          <w:b w:val="1"/>
        </w:rPr>
      </w:pPr>
      <w:r>
        <w:rPr>
          <w:b w:val="1"/>
        </w:rPr>
        <w:t>Порядок разрешения споров.</w:t>
      </w:r>
    </w:p>
    <w:p w14:paraId="29000000">
      <w:pPr>
        <w:pStyle w:val="Style_7"/>
        <w:widowControl w:val="1"/>
        <w:tabs>
          <w:tab w:leader="none" w:pos="0" w:val="left"/>
          <w:tab w:leader="none" w:pos="1080" w:val="clear"/>
        </w:tabs>
        <w:ind w:firstLine="0" w:left="0"/>
      </w:pPr>
      <w:r>
        <w:t>6.1. Споры и разногласия, которые могут возникнуть при исполнении настоящего договора, будут по возможности разрешаться путем переговоров между сторонами.</w:t>
      </w:r>
    </w:p>
    <w:p w14:paraId="2A000000">
      <w:pPr>
        <w:widowControl w:val="1"/>
        <w:ind/>
        <w:jc w:val="both"/>
      </w:pPr>
      <w:r>
        <w:t>6.2. В случае невозможности решения споров путем переговоров стороны после реализации предусмотренной законодательством процедуры досудебного урегулирования разногласий передают их на рассмотрение в Арбитражный суд Алтайского края.</w:t>
      </w:r>
    </w:p>
    <w:p w14:paraId="2B000000">
      <w:pPr>
        <w:widowControl w:val="1"/>
        <w:tabs>
          <w:tab w:leader="none" w:pos="1080" w:val="left"/>
        </w:tabs>
        <w:ind/>
        <w:jc w:val="center"/>
        <w:rPr>
          <w:b w:val="1"/>
        </w:rPr>
      </w:pPr>
    </w:p>
    <w:p w14:paraId="2C000000">
      <w:pPr>
        <w:widowControl w:val="1"/>
        <w:tabs>
          <w:tab w:leader="none" w:pos="1080" w:val="left"/>
        </w:tabs>
        <w:ind/>
        <w:jc w:val="center"/>
        <w:rPr>
          <w:b w:val="1"/>
        </w:rPr>
      </w:pPr>
      <w:r>
        <w:rPr>
          <w:b w:val="1"/>
        </w:rPr>
        <w:t xml:space="preserve">7. </w:t>
      </w:r>
      <w:r>
        <w:rPr>
          <w:b w:val="1"/>
        </w:rPr>
        <w:t>Срок действия, изменение</w:t>
      </w:r>
      <w:r>
        <w:rPr>
          <w:b w:val="1"/>
        </w:rPr>
        <w:t xml:space="preserve"> </w:t>
      </w:r>
      <w:r>
        <w:rPr>
          <w:b w:val="1"/>
        </w:rPr>
        <w:t>и досрочное расторжение договора</w:t>
      </w:r>
    </w:p>
    <w:p w14:paraId="2D000000">
      <w:pPr>
        <w:widowControl w:val="1"/>
        <w:tabs>
          <w:tab w:leader="none" w:pos="1080" w:val="left"/>
        </w:tabs>
        <w:ind/>
        <w:jc w:val="center"/>
        <w:rPr>
          <w:b w:val="1"/>
        </w:rPr>
      </w:pPr>
    </w:p>
    <w:p w14:paraId="2E000000">
      <w:pPr>
        <w:widowControl w:val="1"/>
        <w:ind/>
        <w:contextualSpacing w:val="1"/>
        <w:jc w:val="both"/>
      </w:pPr>
      <w:r>
        <w:t>7</w:t>
      </w:r>
      <w:r>
        <w:t xml:space="preserve">.1. </w:t>
      </w:r>
      <w:r>
        <w:t>Настоящий Договор считается заключенным с момента его подпис</w:t>
      </w:r>
      <w:r>
        <w:t xml:space="preserve">ания Сторонами и действует до </w:t>
      </w:r>
      <w:r>
        <w:t>6</w:t>
      </w:r>
      <w:r>
        <w:t xml:space="preserve"> </w:t>
      </w:r>
      <w:r>
        <w:t>июня</w:t>
      </w:r>
      <w:r>
        <w:t xml:space="preserve"> 202</w:t>
      </w:r>
      <w:r>
        <w:t>5</w:t>
      </w:r>
      <w:r>
        <w:t>г.,</w:t>
      </w:r>
      <w:r>
        <w:rPr>
          <w:rFonts w:ascii="Calibri" w:hAnsi="Calibri"/>
          <w:sz w:val="22"/>
        </w:rPr>
        <w:t xml:space="preserve"> </w:t>
      </w:r>
      <w:r>
        <w:t>а в случае, если к указанному моменту у Сторон остались неисполненные обязательства, вытекающие из настоящего Договора, срок действия Договора продлевается до полного выполнения Сторонами своих обязательств.</w:t>
      </w:r>
    </w:p>
    <w:p w14:paraId="2F000000">
      <w:pPr>
        <w:widowControl w:val="1"/>
        <w:tabs>
          <w:tab w:leader="none" w:pos="1080" w:val="left"/>
        </w:tabs>
        <w:ind/>
        <w:jc w:val="both"/>
      </w:pPr>
      <w:r>
        <w:t xml:space="preserve">7.2. </w:t>
      </w:r>
      <w:r>
        <w:t xml:space="preserve">Изменения и дополнения настоящего договора возможны по соглашению Сторон в рамках действующего законодательства. Все изменения и дополнения оформляются в письменном виде путем подписания Сторонами дополнительных соглашений к договору. </w:t>
      </w:r>
      <w:r>
        <w:t>Дополнительные соглашения к договору являются его неотъемлемой частью и вступают в силу с момента их подписания Сторонами.</w:t>
      </w:r>
    </w:p>
    <w:p w14:paraId="30000000">
      <w:pPr>
        <w:widowControl w:val="1"/>
        <w:tabs>
          <w:tab w:leader="none" w:pos="1080" w:val="left"/>
        </w:tabs>
        <w:ind/>
        <w:jc w:val="both"/>
      </w:pPr>
      <w:r>
        <w:t>7.3</w:t>
      </w:r>
      <w:r>
        <w:t>. Расторжение договора допускается по соглашению сторон, по решению суда или в связи с односторонним отказом стороны договора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обязательств.</w:t>
      </w:r>
    </w:p>
    <w:p w14:paraId="31000000">
      <w:pPr>
        <w:widowControl w:val="1"/>
        <w:tabs>
          <w:tab w:leader="none" w:pos="1080" w:val="left"/>
        </w:tabs>
        <w:ind/>
        <w:jc w:val="both"/>
      </w:pPr>
      <w:r>
        <w:t>7</w:t>
      </w:r>
      <w:r>
        <w:t>.</w:t>
      </w:r>
      <w:r>
        <w:t>4</w:t>
      </w:r>
      <w:r>
        <w:t>. В случае расторжения Договора, стоимость услуг, оказанных на момент его расторжения, подлежит обязательной оплате, если их качество удовлетворяет требованиям Заказчика и им приняты.</w:t>
      </w:r>
    </w:p>
    <w:p w14:paraId="32000000">
      <w:pPr>
        <w:widowControl w:val="1"/>
        <w:tabs>
          <w:tab w:leader="none" w:pos="1080" w:val="left"/>
        </w:tabs>
        <w:ind/>
        <w:jc w:val="both"/>
        <w:rPr>
          <w:b w:val="1"/>
        </w:rPr>
      </w:pPr>
      <w:r>
        <w:t>7</w:t>
      </w:r>
      <w:r>
        <w:t>.</w:t>
      </w:r>
      <w:r>
        <w:t>5</w:t>
      </w:r>
      <w:r>
        <w:t>. Настоящий договор составлен в двух экземплярах на русском языке. Оба экземпляра идентичны и имеют одинаковую силу, у каждой из сторон находится один экземпляр настоящего договора</w:t>
      </w:r>
      <w:r>
        <w:rPr>
          <w:b w:val="1"/>
        </w:rPr>
        <w:t>.</w:t>
      </w:r>
    </w:p>
    <w:p w14:paraId="33000000">
      <w:pPr>
        <w:widowControl w:val="1"/>
        <w:tabs>
          <w:tab w:leader="none" w:pos="1080" w:val="left"/>
        </w:tabs>
        <w:ind/>
        <w:jc w:val="center"/>
        <w:rPr>
          <w:b w:val="1"/>
        </w:rPr>
      </w:pPr>
      <w:r>
        <w:rPr>
          <w:b w:val="1"/>
        </w:rPr>
        <w:t>8. Адреса и банковские реквизиты сторон:</w:t>
      </w:r>
    </w:p>
    <w:tbl>
      <w:tblPr>
        <w:tblStyle w:val="Style_8"/>
        <w:tblW w:type="auto" w:w="0"/>
        <w:tblLayout w:type="fixed"/>
      </w:tblPr>
      <w:tblGrid>
        <w:gridCol w:w="4786"/>
        <w:gridCol w:w="4678"/>
      </w:tblGrid>
      <w:tr>
        <w:tc>
          <w:tcPr>
            <w:tcW w:type="dxa" w:w="4786"/>
            <w:shd w:fill="auto" w:val="clear"/>
          </w:tcPr>
          <w:p w14:paraId="34000000">
            <w:pPr>
              <w:keepNext w:val="1"/>
              <w:widowControl w:val="1"/>
              <w:tabs>
                <w:tab w:leader="none" w:pos="0" w:val="left"/>
              </w:tabs>
              <w:ind w:hanging="432" w:left="432"/>
              <w:jc w:val="center"/>
              <w:outlineLvl w:val="0"/>
              <w:rPr>
                <w:b w:val="1"/>
                <w:sz w:val="20"/>
              </w:rPr>
            </w:pPr>
          </w:p>
          <w:p w14:paraId="35000000">
            <w:pPr>
              <w:keepNext w:val="1"/>
              <w:widowControl w:val="1"/>
              <w:tabs>
                <w:tab w:leader="none" w:pos="0" w:val="left"/>
              </w:tabs>
              <w:ind w:hanging="432" w:left="432"/>
              <w:jc w:val="center"/>
              <w:outlineLvl w:val="0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 xml:space="preserve">Заказчик: </w:t>
            </w:r>
          </w:p>
          <w:p w14:paraId="36000000">
            <w:pPr>
              <w:widowControl w:val="1"/>
              <w:ind/>
              <w:jc w:val="both"/>
              <w:rPr>
                <w:sz w:val="10"/>
              </w:rPr>
            </w:pPr>
          </w:p>
          <w:p w14:paraId="37000000">
            <w:pPr>
              <w:widowControl w:val="1"/>
              <w:ind/>
              <w:jc w:val="both"/>
              <w:rPr>
                <w:sz w:val="20"/>
              </w:rPr>
            </w:pPr>
          </w:p>
        </w:tc>
        <w:tc>
          <w:tcPr>
            <w:tcW w:type="dxa" w:w="4678"/>
            <w:shd w:fill="auto" w:val="clear"/>
          </w:tcPr>
          <w:p w14:paraId="38000000">
            <w:pPr>
              <w:keepNext w:val="1"/>
              <w:widowControl w:val="1"/>
              <w:numPr>
                <w:ilvl w:val="0"/>
                <w:numId w:val="0"/>
              </w:numPr>
              <w:tabs>
                <w:tab w:leader="none" w:pos="0" w:val="left"/>
              </w:tabs>
              <w:ind w:hanging="576" w:left="576"/>
              <w:jc w:val="center"/>
              <w:outlineLvl w:val="1"/>
              <w:rPr>
                <w:b w:val="1"/>
                <w:sz w:val="20"/>
              </w:rPr>
            </w:pPr>
          </w:p>
          <w:p w14:paraId="39000000">
            <w:pPr>
              <w:keepNext w:val="1"/>
              <w:widowControl w:val="1"/>
              <w:numPr>
                <w:ilvl w:val="0"/>
                <w:numId w:val="0"/>
              </w:numPr>
              <w:tabs>
                <w:tab w:leader="none" w:pos="0" w:val="left"/>
              </w:tabs>
              <w:ind w:hanging="576" w:left="576"/>
              <w:jc w:val="center"/>
              <w:outlineLvl w:val="1"/>
              <w:rPr>
                <w:b w:val="1"/>
                <w:sz w:val="20"/>
              </w:rPr>
            </w:pPr>
            <w:r>
              <w:rPr>
                <w:b w:val="1"/>
                <w:sz w:val="20"/>
              </w:rPr>
              <w:t>Исполнитель:</w:t>
            </w:r>
          </w:p>
          <w:p w14:paraId="3A000000">
            <w:pPr>
              <w:rPr>
                <w:b w:val="1"/>
              </w:rPr>
            </w:pPr>
            <w:r>
              <w:rPr>
                <w:b w:val="1"/>
              </w:rPr>
              <w:t>ООО «Фестиваль Плюс»</w:t>
            </w:r>
          </w:p>
          <w:p w14:paraId="3B000000">
            <w:r>
              <w:t>ИНН 222908037</w:t>
            </w:r>
          </w:p>
          <w:p w14:paraId="3C000000">
            <w:r>
              <w:t>КПП 2222</w:t>
            </w:r>
            <w:r>
              <w:t>01001</w:t>
            </w:r>
          </w:p>
          <w:p w14:paraId="3D000000">
            <w:r>
              <w:t>ОГРН 1242200011107</w:t>
            </w:r>
          </w:p>
          <w:p w14:paraId="3E000000">
            <w:r>
              <w:t>Юр. адрес: 656065</w:t>
            </w:r>
            <w:r>
              <w:t xml:space="preserve">, Алтайский край, </w:t>
            </w:r>
          </w:p>
          <w:p w14:paraId="3F000000">
            <w:r>
              <w:t>г. Барнаул, ул. Сергея Семенова, д. 26, 94</w:t>
            </w:r>
          </w:p>
          <w:p w14:paraId="40000000">
            <w:r>
              <w:t>Факт. адрес: 656065</w:t>
            </w:r>
            <w:r>
              <w:t xml:space="preserve">, Алтайский край, </w:t>
            </w:r>
          </w:p>
          <w:p w14:paraId="41000000">
            <w:r>
              <w:t>г. Барнаул, ул. Сергея Семенова, д. 26, 94</w:t>
            </w:r>
          </w:p>
          <w:p w14:paraId="42000000">
            <w:r>
              <w:t>р/с    40702810223600000960</w:t>
            </w:r>
          </w:p>
          <w:p w14:paraId="43000000">
            <w:r>
              <w:t xml:space="preserve">в операционном офисе «Алтайский» </w:t>
            </w:r>
          </w:p>
          <w:p w14:paraId="44000000">
            <w:r>
              <w:t xml:space="preserve">АО «Альфа-банк» </w:t>
            </w:r>
          </w:p>
          <w:p w14:paraId="45000000">
            <w:r>
              <w:t>к/с</w:t>
            </w:r>
            <w:r>
              <w:t xml:space="preserve">    30101810600000000774</w:t>
            </w:r>
          </w:p>
          <w:p w14:paraId="46000000">
            <w:r>
              <w:t>БИК 045004774</w:t>
            </w:r>
          </w:p>
          <w:p w14:paraId="47000000">
            <w:r>
              <w:t>Телефон: 8(909)500-6268</w:t>
            </w:r>
          </w:p>
          <w:p w14:paraId="48000000">
            <w:pPr>
              <w:widowControl w:val="1"/>
              <w:ind/>
              <w:jc w:val="both"/>
              <w:rPr>
                <w:sz w:val="20"/>
              </w:rPr>
            </w:pPr>
          </w:p>
        </w:tc>
      </w:tr>
    </w:tbl>
    <w:p w14:paraId="49000000">
      <w:pPr>
        <w:widowControl w:val="1"/>
        <w:tabs>
          <w:tab w:leader="none" w:pos="1080" w:val="left"/>
        </w:tabs>
        <w:ind/>
        <w:jc w:val="both"/>
      </w:pPr>
      <w:r>
        <w:t>должность</w:t>
      </w:r>
      <w:r>
        <w:t>_________________</w:t>
      </w:r>
      <w:r>
        <w:t>ФИО</w:t>
      </w:r>
      <w:r>
        <w:tab/>
      </w:r>
      <w:r>
        <w:tab/>
      </w:r>
      <w:r>
        <w:t xml:space="preserve">Директор </w:t>
      </w:r>
      <w:r>
        <w:t>______________</w:t>
      </w:r>
      <w:r>
        <w:t>К.В. Бородачева</w:t>
      </w:r>
    </w:p>
    <w:p w14:paraId="4A000000">
      <w:pPr>
        <w:widowControl w:val="1"/>
        <w:tabs>
          <w:tab w:leader="none" w:pos="1080" w:val="left"/>
        </w:tabs>
        <w:ind/>
        <w:jc w:val="both"/>
        <w:rPr>
          <w:sz w:val="16"/>
        </w:rPr>
      </w:pPr>
      <w:r>
        <w:rPr>
          <w:sz w:val="16"/>
        </w:rPr>
        <w:tab/>
      </w:r>
      <w:r>
        <w:rPr>
          <w:sz w:val="16"/>
        </w:rPr>
        <w:t xml:space="preserve">       </w:t>
      </w:r>
      <w:r>
        <w:rPr>
          <w:sz w:val="16"/>
        </w:rPr>
        <w:t>М.П.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 xml:space="preserve">            </w:t>
      </w:r>
      <w:r>
        <w:rPr>
          <w:sz w:val="16"/>
        </w:rPr>
        <w:t>М.П.</w:t>
      </w:r>
    </w:p>
    <w:p w14:paraId="4B000000">
      <w:pPr>
        <w:rPr>
          <w:sz w:val="16"/>
        </w:rPr>
      </w:pPr>
      <w:r>
        <w:rPr>
          <w:sz w:val="16"/>
        </w:rPr>
        <w:t xml:space="preserve"> </w:t>
      </w:r>
    </w:p>
    <w:sectPr>
      <w:pgSz w:h="16838" w:orient="portrait" w:w="11906"/>
      <w:pgMar w:bottom="454" w:footer="709" w:gutter="0" w:header="709" w:left="1701" w:right="851" w:top="34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suff w:val="tab"/>
      <w:lvlText w:val="%1."/>
      <w:lvlJc w:val="left"/>
      <w:pPr>
        <w:widowControl w:val="1"/>
        <w:tabs>
          <w:tab w:leader="none" w:pos="720" w:val="left"/>
        </w:tabs>
        <w:ind w:hanging="360" w:left="720"/>
      </w:pPr>
    </w:lvl>
    <w:lvl w:ilvl="1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2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3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4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5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6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7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  <w:lvl w:ilvl="8">
      <w:numFmt w:val="decimal"/>
      <w:suff w:val="tab"/>
      <w:lvlText w:val=""/>
      <w:lvlJc w:val="left"/>
      <w:pPr>
        <w:widowControl w:val="1"/>
        <w:tabs>
          <w:tab w:leader="none" w:pos="360" w:val="left"/>
        </w:tabs>
        <w:ind/>
      </w:pPr>
    </w:lvl>
  </w:abstractNum>
  <w:abstractNum w:abstractNumId="1">
    <w:lvl w:ilvl="0">
      <w:start w:val="2"/>
      <w:numFmt w:val="decimal"/>
      <w:suff w:val="tab"/>
      <w:lvlText w:val="%1."/>
      <w:lvlJc w:val="left"/>
      <w:pPr>
        <w:widowControl w:val="1"/>
        <w:tabs>
          <w:tab w:leader="none" w:pos="720" w:val="left"/>
        </w:tabs>
        <w:ind w:hanging="720" w:left="720"/>
      </w:pPr>
    </w:lvl>
    <w:lvl w:ilvl="1">
      <w:start w:val="3"/>
      <w:numFmt w:val="decimal"/>
      <w:suff w:val="tab"/>
      <w:lvlText w:val="%1.%2."/>
      <w:lvlJc w:val="left"/>
      <w:pPr>
        <w:widowControl w:val="1"/>
        <w:tabs>
          <w:tab w:leader="none" w:pos="900" w:val="left"/>
        </w:tabs>
        <w:ind w:hanging="720" w:left="900"/>
      </w:pPr>
    </w:lvl>
    <w:lvl w:ilvl="2">
      <w:start w:val="1"/>
      <w:numFmt w:val="decimal"/>
      <w:suff w:val="tab"/>
      <w:lvlText w:val="%1.%2.%3."/>
      <w:lvlJc w:val="left"/>
      <w:pPr>
        <w:widowControl w:val="1"/>
        <w:tabs>
          <w:tab w:leader="none" w:pos="1080" w:val="left"/>
        </w:tabs>
        <w:ind w:hanging="720" w:left="1080"/>
      </w:pPr>
    </w:lvl>
    <w:lvl w:ilvl="3">
      <w:start w:val="1"/>
      <w:numFmt w:val="decimal"/>
      <w:suff w:val="tab"/>
      <w:lvlText w:val="%1.%2.%3.%4."/>
      <w:lvlJc w:val="left"/>
      <w:pPr>
        <w:widowControl w:val="1"/>
        <w:tabs>
          <w:tab w:leader="none" w:pos="1260" w:val="left"/>
        </w:tabs>
        <w:ind w:hanging="720" w:left="1260"/>
      </w:pPr>
    </w:lvl>
    <w:lvl w:ilvl="4">
      <w:start w:val="1"/>
      <w:numFmt w:val="decimal"/>
      <w:suff w:val="tab"/>
      <w:lvlText w:val="%1.%2.%3.%4.%5."/>
      <w:lvlJc w:val="left"/>
      <w:pPr>
        <w:widowControl w:val="1"/>
        <w:tabs>
          <w:tab w:leader="none" w:pos="1800" w:val="left"/>
        </w:tabs>
        <w:ind w:hanging="1080" w:left="1800"/>
      </w:pPr>
    </w:lvl>
    <w:lvl w:ilvl="5">
      <w:start w:val="1"/>
      <w:numFmt w:val="decimal"/>
      <w:suff w:val="tab"/>
      <w:lvlText w:val="%1.%2.%3.%4.%5.%6."/>
      <w:lvlJc w:val="left"/>
      <w:pPr>
        <w:widowControl w:val="1"/>
        <w:tabs>
          <w:tab w:leader="none" w:pos="1980" w:val="left"/>
        </w:tabs>
        <w:ind w:hanging="1080" w:left="1980"/>
      </w:pPr>
    </w:lvl>
    <w:lvl w:ilvl="6">
      <w:start w:val="1"/>
      <w:numFmt w:val="decimal"/>
      <w:suff w:val="tab"/>
      <w:lvlText w:val="%1.%2.%3.%4.%5.%6.%7."/>
      <w:lvlJc w:val="left"/>
      <w:pPr>
        <w:widowControl w:val="1"/>
        <w:tabs>
          <w:tab w:leader="none" w:pos="2520" w:val="left"/>
        </w:tabs>
        <w:ind w:hanging="1440" w:left="2520"/>
      </w:pPr>
    </w:lvl>
    <w:lvl w:ilvl="7">
      <w:start w:val="1"/>
      <w:numFmt w:val="decimal"/>
      <w:suff w:val="tab"/>
      <w:lvlText w:val="%1.%2.%3.%4.%5.%6.%7.%8."/>
      <w:lvlJc w:val="left"/>
      <w:pPr>
        <w:widowControl w:val="1"/>
        <w:tabs>
          <w:tab w:leader="none" w:pos="2700" w:val="left"/>
        </w:tabs>
        <w:ind w:hanging="1440" w:left="2700"/>
      </w:pPr>
    </w:lvl>
    <w:lvl w:ilvl="8">
      <w:start w:val="1"/>
      <w:numFmt w:val="decimal"/>
      <w:suff w:val="tab"/>
      <w:lvlText w:val="%1.%2.%3.%4.%5.%6.%7.%8.%9."/>
      <w:lvlJc w:val="left"/>
      <w:pPr>
        <w:widowControl w:val="1"/>
        <w:tabs>
          <w:tab w:leader="none" w:pos="3240" w:val="left"/>
        </w:tabs>
        <w:ind w:hanging="1800" w:left="3240"/>
      </w:pPr>
    </w:lvl>
  </w:abstractNum>
  <w:abstractNum w:abstractNumId="2">
    <w:lvl w:ilvl="0">
      <w:start w:val="4"/>
      <w:numFmt w:val="decimal"/>
      <w:suff w:val="tab"/>
      <w:lvlText w:val="%1."/>
      <w:lvlJc w:val="left"/>
      <w:pPr>
        <w:widowControl w:val="1"/>
        <w:tabs>
          <w:tab w:leader="none" w:pos="360" w:val="left"/>
        </w:tabs>
        <w:ind w:hanging="360" w:left="360"/>
      </w:pPr>
    </w:lvl>
    <w:lvl w:ilvl="1">
      <w:start w:val="1"/>
      <w:numFmt w:val="decimal"/>
      <w:suff w:val="tab"/>
      <w:lvlText w:val="%1.%2."/>
      <w:lvlJc w:val="left"/>
      <w:pPr>
        <w:widowControl w:val="1"/>
        <w:tabs>
          <w:tab w:leader="none" w:pos="720" w:val="left"/>
        </w:tabs>
        <w:ind w:hanging="360" w:left="720"/>
      </w:pPr>
    </w:lvl>
    <w:lvl w:ilvl="2">
      <w:start w:val="1"/>
      <w:numFmt w:val="decimal"/>
      <w:suff w:val="tab"/>
      <w:lvlText w:val="%1.%2.%3."/>
      <w:lvlJc w:val="left"/>
      <w:pPr>
        <w:widowControl w:val="1"/>
        <w:tabs>
          <w:tab w:leader="none" w:pos="1440" w:val="left"/>
        </w:tabs>
        <w:ind w:hanging="720" w:left="1440"/>
      </w:pPr>
    </w:lvl>
    <w:lvl w:ilvl="3">
      <w:start w:val="1"/>
      <w:numFmt w:val="decimal"/>
      <w:suff w:val="tab"/>
      <w:lvlText w:val="%1.%2.%3.%4."/>
      <w:lvlJc w:val="left"/>
      <w:pPr>
        <w:widowControl w:val="1"/>
        <w:tabs>
          <w:tab w:leader="none" w:pos="1800" w:val="left"/>
        </w:tabs>
        <w:ind w:hanging="720" w:left="1800"/>
      </w:pPr>
    </w:lvl>
    <w:lvl w:ilvl="4">
      <w:start w:val="1"/>
      <w:numFmt w:val="decimal"/>
      <w:suff w:val="tab"/>
      <w:lvlText w:val="%1.%2.%3.%4.%5."/>
      <w:lvlJc w:val="left"/>
      <w:pPr>
        <w:widowControl w:val="1"/>
        <w:tabs>
          <w:tab w:leader="none" w:pos="2520" w:val="left"/>
        </w:tabs>
        <w:ind w:hanging="1080" w:left="2520"/>
      </w:pPr>
    </w:lvl>
    <w:lvl w:ilvl="5">
      <w:start w:val="1"/>
      <w:numFmt w:val="decimal"/>
      <w:suff w:val="tab"/>
      <w:lvlText w:val="%1.%2.%3.%4.%5.%6."/>
      <w:lvlJc w:val="left"/>
      <w:pPr>
        <w:widowControl w:val="1"/>
        <w:tabs>
          <w:tab w:leader="none" w:pos="2880" w:val="left"/>
        </w:tabs>
        <w:ind w:hanging="1080" w:left="2880"/>
      </w:pPr>
    </w:lvl>
    <w:lvl w:ilvl="6">
      <w:start w:val="1"/>
      <w:numFmt w:val="decimal"/>
      <w:suff w:val="tab"/>
      <w:lvlText w:val="%1.%2.%3.%4.%5.%6.%7."/>
      <w:lvlJc w:val="left"/>
      <w:pPr>
        <w:widowControl w:val="1"/>
        <w:tabs>
          <w:tab w:leader="none" w:pos="3600" w:val="left"/>
        </w:tabs>
        <w:ind w:hanging="1440" w:left="3600"/>
      </w:pPr>
    </w:lvl>
    <w:lvl w:ilvl="7">
      <w:start w:val="1"/>
      <w:numFmt w:val="decimal"/>
      <w:suff w:val="tab"/>
      <w:lvlText w:val="%1.%2.%3.%4.%5.%6.%7.%8."/>
      <w:lvlJc w:val="left"/>
      <w:pPr>
        <w:widowControl w:val="1"/>
        <w:tabs>
          <w:tab w:leader="none" w:pos="3960" w:val="left"/>
        </w:tabs>
        <w:ind w:hanging="1440" w:left="3960"/>
      </w:pPr>
    </w:lvl>
    <w:lvl w:ilvl="8">
      <w:start w:val="1"/>
      <w:numFmt w:val="decimal"/>
      <w:suff w:val="tab"/>
      <w:lvlText w:val="%1.%2.%3.%4.%5.%6.%7.%8.%9."/>
      <w:lvlJc w:val="left"/>
      <w:pPr>
        <w:widowControl w:val="1"/>
        <w:tabs>
          <w:tab w:leader="none" w:pos="4680" w:val="left"/>
        </w:tabs>
        <w:ind w:hanging="1800" w:left="46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widowControl w:val="1"/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9" w:type="paragraph">
    <w:name w:val="Normal"/>
    <w:link w:val="Style_9_ch"/>
    <w:uiPriority w:val="0"/>
    <w:qFormat/>
    <w:rPr>
      <w:sz w:val="24"/>
    </w:rPr>
  </w:style>
  <w:style w:default="1" w:styleId="Style_9_ch" w:type="character">
    <w:name w:val="Normal"/>
    <w:link w:val="Style_9"/>
    <w:rPr>
      <w:sz w:val="24"/>
    </w:rPr>
  </w:style>
  <w:style w:styleId="Style_10" w:type="paragraph">
    <w:name w:val="toc 2"/>
    <w:next w:val="Style_9"/>
    <w:link w:val="Style_10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toc 4"/>
    <w:next w:val="Style_9"/>
    <w:link w:val="Style_11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12" w:type="paragraph">
    <w:name w:val="toc 6"/>
    <w:next w:val="Style_9"/>
    <w:link w:val="Style_12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9"/>
    <w:link w:val="Style_13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End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Endnote"/>
    <w:link w:val="Style_15"/>
    <w:rPr>
      <w:rFonts w:ascii="XO Thames" w:hAnsi="XO Thames"/>
      <w:sz w:val="22"/>
    </w:rPr>
  </w:style>
  <w:style w:styleId="Style_16" w:type="paragraph">
    <w:name w:val="heading 3"/>
    <w:next w:val="Style_9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17" w:type="paragraph">
    <w:name w:val="Balloon Text"/>
    <w:basedOn w:val="Style_9"/>
    <w:link w:val="Style_17_ch"/>
    <w:rPr>
      <w:rFonts w:ascii="Tahoma" w:hAnsi="Tahoma"/>
      <w:sz w:val="16"/>
    </w:rPr>
  </w:style>
  <w:style w:styleId="Style_17_ch" w:type="character">
    <w:name w:val="Balloon Text"/>
    <w:basedOn w:val="Style_9_ch"/>
    <w:link w:val="Style_17"/>
    <w:rPr>
      <w:rFonts w:ascii="Tahoma" w:hAnsi="Tahoma"/>
      <w:sz w:val="16"/>
    </w:rPr>
  </w:style>
  <w:style w:styleId="Style_18" w:type="paragraph">
    <w:name w:val="Body Text"/>
    <w:basedOn w:val="Style_9"/>
    <w:link w:val="Style_18_ch"/>
    <w:pPr>
      <w:widowControl w:val="1"/>
      <w:ind/>
      <w:jc w:val="both"/>
    </w:pPr>
    <w:rPr>
      <w:sz w:val="28"/>
    </w:rPr>
  </w:style>
  <w:style w:styleId="Style_18_ch" w:type="character">
    <w:name w:val="Body Text"/>
    <w:basedOn w:val="Style_9_ch"/>
    <w:link w:val="Style_18"/>
    <w:rPr>
      <w:sz w:val="28"/>
    </w:rPr>
  </w:style>
  <w:style w:styleId="Style_19" w:type="paragraph">
    <w:name w:val="toc 3"/>
    <w:next w:val="Style_9"/>
    <w:link w:val="Style_1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20" w:type="paragraph">
    <w:name w:val="heading 5"/>
    <w:next w:val="Style_9"/>
    <w:link w:val="Style_2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0_ch" w:type="character">
    <w:name w:val="heading 5"/>
    <w:link w:val="Style_20"/>
    <w:rPr>
      <w:rFonts w:ascii="XO Thames" w:hAnsi="XO Thames"/>
      <w:b w:val="1"/>
      <w:sz w:val="22"/>
    </w:rPr>
  </w:style>
  <w:style w:styleId="Style_3" w:type="paragraph">
    <w:name w:val="Body Text 2"/>
    <w:basedOn w:val="Style_9"/>
    <w:link w:val="Style_3_ch"/>
    <w:pPr>
      <w:widowControl w:val="1"/>
      <w:ind/>
      <w:jc w:val="both"/>
    </w:pPr>
  </w:style>
  <w:style w:styleId="Style_3_ch" w:type="character">
    <w:name w:val="Body Text 2"/>
    <w:basedOn w:val="Style_9_ch"/>
    <w:link w:val="Style_3"/>
  </w:style>
  <w:style w:styleId="Style_7" w:type="paragraph">
    <w:name w:val="Body Text Indent 2"/>
    <w:basedOn w:val="Style_9"/>
    <w:link w:val="Style_7_ch"/>
    <w:pPr>
      <w:widowControl w:val="1"/>
      <w:tabs>
        <w:tab w:leader="none" w:pos="1080" w:val="left"/>
      </w:tabs>
      <w:ind w:hanging="720" w:left="1080"/>
      <w:jc w:val="both"/>
    </w:pPr>
  </w:style>
  <w:style w:styleId="Style_7_ch" w:type="character">
    <w:name w:val="Body Text Indent 2"/>
    <w:basedOn w:val="Style_9_ch"/>
    <w:link w:val="Style_7"/>
  </w:style>
  <w:style w:styleId="Style_21" w:type="paragraph">
    <w:name w:val="heading 1"/>
    <w:basedOn w:val="Style_9"/>
    <w:next w:val="Style_9"/>
    <w:link w:val="Style_21_ch"/>
    <w:uiPriority w:val="9"/>
    <w:qFormat/>
    <w:pPr>
      <w:keepNext w:val="1"/>
      <w:widowControl w:val="1"/>
      <w:ind/>
      <w:jc w:val="center"/>
      <w:outlineLvl w:val="0"/>
    </w:pPr>
  </w:style>
  <w:style w:styleId="Style_21_ch" w:type="character">
    <w:name w:val="heading 1"/>
    <w:basedOn w:val="Style_9_ch"/>
    <w:link w:val="Style_21"/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sz w:val="22"/>
    </w:rPr>
  </w:style>
  <w:style w:styleId="Style_23_ch" w:type="character">
    <w:name w:val="Footnote"/>
    <w:link w:val="Style_23"/>
    <w:rPr>
      <w:rFonts w:ascii="XO Thames" w:hAnsi="XO Thames"/>
      <w:sz w:val="22"/>
    </w:rPr>
  </w:style>
  <w:style w:styleId="Style_6" w:type="paragraph">
    <w:name w:val="List Paragraph"/>
    <w:basedOn w:val="Style_9"/>
    <w:link w:val="Style_6_ch"/>
    <w:pPr>
      <w:widowControl w:val="1"/>
      <w:ind w:left="720"/>
      <w:contextualSpacing w:val="1"/>
    </w:pPr>
  </w:style>
  <w:style w:styleId="Style_6_ch" w:type="character">
    <w:name w:val="List Paragraph"/>
    <w:basedOn w:val="Style_9_ch"/>
    <w:link w:val="Style_6"/>
  </w:style>
  <w:style w:styleId="Style_24" w:type="paragraph">
    <w:name w:val="toc 1"/>
    <w:next w:val="Style_9"/>
    <w:link w:val="Style_2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4_ch" w:type="character">
    <w:name w:val="toc 1"/>
    <w:link w:val="Style_24"/>
    <w:rPr>
      <w:rFonts w:ascii="XO Thames" w:hAnsi="XO Thames"/>
      <w:b w:val="1"/>
      <w:sz w:val="28"/>
    </w:rPr>
  </w:style>
  <w:style w:styleId="Style_25" w:type="paragraph">
    <w:name w:val="Header and Footer"/>
    <w:link w:val="Style_25_ch"/>
    <w:pPr>
      <w:spacing w:line="240" w:lineRule="auto"/>
      <w:ind/>
      <w:jc w:val="both"/>
    </w:pPr>
    <w:rPr>
      <w:rFonts w:ascii="XO Thames" w:hAnsi="XO Thames"/>
      <w:sz w:val="28"/>
    </w:rPr>
  </w:style>
  <w:style w:styleId="Style_25_ch" w:type="character">
    <w:name w:val="Header and Footer"/>
    <w:link w:val="Style_25"/>
    <w:rPr>
      <w:rFonts w:ascii="XO Thames" w:hAnsi="XO Thames"/>
      <w:sz w:val="28"/>
    </w:rPr>
  </w:style>
  <w:style w:styleId="Style_4" w:type="paragraph">
    <w:name w:val="Body Text Indent 3"/>
    <w:basedOn w:val="Style_9"/>
    <w:link w:val="Style_4_ch"/>
    <w:pPr>
      <w:widowControl w:val="1"/>
      <w:tabs>
        <w:tab w:leader="none" w:pos="1080" w:val="left"/>
        <w:tab w:leader="none" w:pos="1620" w:val="left"/>
      </w:tabs>
      <w:ind w:left="360"/>
    </w:pPr>
  </w:style>
  <w:style w:styleId="Style_4_ch" w:type="character">
    <w:name w:val="Body Text Indent 3"/>
    <w:basedOn w:val="Style_9_ch"/>
    <w:link w:val="Style_4"/>
  </w:style>
  <w:style w:styleId="Style_26" w:type="paragraph">
    <w:name w:val="toc 9"/>
    <w:next w:val="Style_9"/>
    <w:link w:val="Style_2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5" w:type="paragraph">
    <w:name w:val="Standard"/>
    <w:link w:val="Style_5_ch"/>
    <w:pPr>
      <w:widowControl w:val="0"/>
      <w:ind/>
    </w:pPr>
    <w:rPr>
      <w:sz w:val="24"/>
    </w:rPr>
  </w:style>
  <w:style w:styleId="Style_5_ch" w:type="character">
    <w:name w:val="Standard"/>
    <w:link w:val="Style_5"/>
    <w:rPr>
      <w:sz w:val="24"/>
    </w:rPr>
  </w:style>
  <w:style w:styleId="Style_27" w:type="paragraph">
    <w:name w:val="toc 8"/>
    <w:next w:val="Style_9"/>
    <w:link w:val="Style_2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Обычный.Обычный 21"/>
    <w:link w:val="Style_28_ch"/>
    <w:rPr>
      <w:sz w:val="24"/>
    </w:rPr>
  </w:style>
  <w:style w:styleId="Style_28_ch" w:type="character">
    <w:name w:val="Обычный.Обычный 21"/>
    <w:link w:val="Style_28"/>
    <w:rPr>
      <w:sz w:val="24"/>
    </w:rPr>
  </w:style>
  <w:style w:styleId="Style_29" w:type="paragraph">
    <w:name w:val="toc 5"/>
    <w:next w:val="Style_9"/>
    <w:link w:val="Style_2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ubtitle"/>
    <w:next w:val="Style_9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2" w:type="paragraph">
    <w:name w:val="Body Text Indent"/>
    <w:basedOn w:val="Style_9"/>
    <w:link w:val="Style_2_ch"/>
    <w:pPr>
      <w:widowControl w:val="1"/>
      <w:ind w:hanging="720" w:left="720"/>
      <w:jc w:val="both"/>
    </w:pPr>
    <w:rPr>
      <w:sz w:val="28"/>
    </w:rPr>
  </w:style>
  <w:style w:styleId="Style_2_ch" w:type="character">
    <w:name w:val="Body Text Indent"/>
    <w:basedOn w:val="Style_9_ch"/>
    <w:link w:val="Style_2"/>
    <w:rPr>
      <w:sz w:val="28"/>
    </w:rPr>
  </w:style>
  <w:style w:styleId="Style_1" w:type="paragraph">
    <w:name w:val="Title"/>
    <w:basedOn w:val="Style_9"/>
    <w:link w:val="Style_1_ch"/>
    <w:uiPriority w:val="10"/>
    <w:qFormat/>
    <w:pPr>
      <w:widowControl w:val="1"/>
      <w:ind/>
      <w:jc w:val="center"/>
    </w:pPr>
    <w:rPr>
      <w:sz w:val="28"/>
    </w:rPr>
  </w:style>
  <w:style w:styleId="Style_1_ch" w:type="character">
    <w:name w:val="Title"/>
    <w:basedOn w:val="Style_9_ch"/>
    <w:link w:val="Style_1"/>
    <w:rPr>
      <w:sz w:val="28"/>
    </w:rPr>
  </w:style>
  <w:style w:styleId="Style_31" w:type="paragraph">
    <w:name w:val="heading 4"/>
    <w:next w:val="Style_9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heading 2"/>
    <w:basedOn w:val="Style_9"/>
    <w:next w:val="Style_9"/>
    <w:link w:val="Style_32_ch"/>
    <w:uiPriority w:val="9"/>
    <w:qFormat/>
    <w:pPr>
      <w:keepNext w:val="1"/>
      <w:widowControl w:val="1"/>
      <w:ind/>
      <w:jc w:val="center"/>
      <w:outlineLvl w:val="1"/>
    </w:pPr>
    <w:rPr>
      <w:b w:val="1"/>
      <w:sz w:val="16"/>
    </w:rPr>
  </w:style>
  <w:style w:styleId="Style_32_ch" w:type="character">
    <w:name w:val="heading 2"/>
    <w:basedOn w:val="Style_9_ch"/>
    <w:link w:val="Style_32"/>
    <w:rPr>
      <w:b w:val="1"/>
      <w:sz w:val="16"/>
    </w:rPr>
  </w:style>
  <w:style w:default="1" w:styleId="Style_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MyOffice-CoreFramework-Android/36-1319.1058.9942.953.1@8a8e91c111ebc3e71a2a82a94b3d7700bb817fed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2025-02-19T09:30:00Z</dcterms:created>
  <dcterms:modified xsi:type="dcterms:W3CDTF">2025-05-05T08:49:25Z</dcterms:modified>
</cp:coreProperties>
</file>